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Special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Meeting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 xml:space="preserve"> Workshop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Minutes </w:t>
      </w:r>
    </w:p>
    <w:p>
      <w:pPr>
        <w:spacing w:after="0"/>
        <w:jc w:val="center"/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March 8</w:t>
      </w:r>
      <w:r>
        <w:rPr>
          <w:rFonts w:ascii="Arial" w:hAnsi="Arial" w:cs="Arial" w:eastAsiaTheme="minorHAnsi"/>
          <w:color w:val="auto"/>
          <w:sz w:val="24"/>
          <w:szCs w:val="24"/>
        </w:rPr>
        <w:t>, 202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3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</w:t>
      </w:r>
      <w:r>
        <w:rPr>
          <w:rFonts w:hint="default" w:ascii="Arial" w:hAnsi="Arial" w:cs="Arial" w:eastAsiaTheme="minorHAnsi"/>
          <w:color w:val="auto"/>
          <w:lang w:val="en-US"/>
        </w:rPr>
        <w:t>36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ascii="Arial" w:hAnsi="Arial" w:cs="Arial" w:eastAsiaTheme="minorHAnsi"/>
          <w:color w:val="auto"/>
          <w:lang w:val="en-US"/>
        </w:rPr>
        <w:t>Danny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Devin Hill (DH)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Jeff Chapman (JC</w:t>
      </w:r>
      <w:r>
        <w:rPr>
          <w:rFonts w:hint="default" w:ascii="Arial" w:hAnsi="Arial" w:cs="Arial" w:eastAsiaTheme="minorHAnsi"/>
          <w:color w:val="auto"/>
          <w:lang w:val="en-US"/>
        </w:rPr>
        <w:t>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Amy Wilson(AW</w:t>
      </w:r>
      <w:r>
        <w:rPr>
          <w:rFonts w:hint="default" w:ascii="Arial" w:hAnsi="Arial" w:cs="Arial" w:eastAsiaTheme="minorHAnsi"/>
          <w:color w:val="auto"/>
          <w:lang w:val="en-US"/>
        </w:rPr>
        <w:t>)(E)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Also, present:   Travis Regalo</w:t>
      </w:r>
      <w:r>
        <w:rPr>
          <w:rFonts w:hint="default" w:ascii="Arial" w:hAnsi="Arial" w:cs="Arial" w:eastAsiaTheme="minorHAnsi"/>
          <w:color w:val="auto"/>
          <w:lang w:val="en-US"/>
        </w:rPr>
        <w:t>, Carson Sanders from Civitas Advisors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</w:t>
      </w:r>
      <w:r>
        <w:rPr>
          <w:rFonts w:hint="default" w:ascii="Arial" w:hAnsi="Arial" w:cs="Arial" w:eastAsiaTheme="minorHAnsi"/>
          <w:color w:val="auto"/>
          <w:lang w:val="en-US"/>
        </w:rPr>
        <w:t>: none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1"/>
          <w:numId w:val="2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4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/>
          <w:lang w:val="en-US"/>
        </w:rPr>
        <w:t>The TDPOA board reviewed the Property and Business Improvement District contract and discussed strategies pertaining to.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Tdpoa discussed maintenance and contract verbage inserted into new PBID re-write.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Civitas prepared PBID timeline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PBID structure with BOC: formalize in Bylaws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How to propose and separate matching funds from City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Meet with Council and Mayor about PBID goals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Finish Budget by March 15</w:t>
      </w:r>
      <w:r>
        <w:rPr>
          <w:rFonts w:hint="default" w:ascii="Arial" w:hAnsi="Arial" w:cs="Arial" w:eastAsiaTheme="minorHAnsi"/>
          <w:color w:val="auto"/>
          <w:vertAlign w:val="superscript"/>
          <w:lang w:val="en-US"/>
        </w:rPr>
        <w:t>th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. 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Board Member Comments: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  <w:bookmarkStart w:id="0" w:name="_GoBack"/>
      <w:bookmarkEnd w:id="0"/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Put together timeline for PBID process,</w:t>
      </w:r>
    </w:p>
    <w:p>
      <w:pPr>
        <w:spacing w:after="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</w:pPr>
      <w:r>
        <w:rPr>
          <w:rFonts w:hint="default" w:ascii="Arial" w:hAnsi="Arial" w:cs="Arial" w:eastAsiaTheme="minorHAnsi"/>
          <w:color w:val="auto"/>
          <w:lang w:val="en-US"/>
        </w:rPr>
        <w:t>Adjourned at 5:07pm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199E1ABC"/>
    <w:rsid w:val="32762B61"/>
    <w:rsid w:val="46AC02B5"/>
    <w:rsid w:val="49415726"/>
    <w:rsid w:val="49B50F38"/>
    <w:rsid w:val="51B3137E"/>
    <w:rsid w:val="59832BAE"/>
    <w:rsid w:val="5E52061C"/>
    <w:rsid w:val="66BF32D7"/>
    <w:rsid w:val="6B0B0898"/>
    <w:rsid w:val="71736552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5</TotalTime>
  <ScaleCrop>false</ScaleCrop>
  <LinksUpToDate>false</LinksUpToDate>
  <CharactersWithSpaces>2423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2023-04-12T21:12:30Z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20DC70D36E4B4477AF3BAADB143EB3C1</vt:lpwstr>
  </property>
</Properties>
</file>