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037" w:rsidRDefault="003D4DDC">
      <w:pPr>
        <w:spacing w:after="0"/>
        <w:ind w:left="430"/>
        <w:jc w:val="center"/>
      </w:pPr>
      <w:r>
        <w:rPr>
          <w:noProof/>
        </w:rPr>
        <w:drawing>
          <wp:anchor distT="0" distB="0" distL="114300" distR="114300" simplePos="0" relativeHeight="251658240" behindDoc="0" locked="0" layoutInCell="1" allowOverlap="0">
            <wp:simplePos x="0" y="0"/>
            <wp:positionH relativeFrom="column">
              <wp:posOffset>273050</wp:posOffset>
            </wp:positionH>
            <wp:positionV relativeFrom="paragraph">
              <wp:posOffset>-143522</wp:posOffset>
            </wp:positionV>
            <wp:extent cx="2186940" cy="10210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186940" cy="1021080"/>
                    </a:xfrm>
                    <a:prstGeom prst="rect">
                      <a:avLst/>
                    </a:prstGeom>
                  </pic:spPr>
                </pic:pic>
              </a:graphicData>
            </a:graphic>
          </wp:anchor>
        </w:drawing>
      </w:r>
      <w:r>
        <w:rPr>
          <w:rFonts w:ascii="Times New Roman" w:eastAsia="Times New Roman" w:hAnsi="Times New Roman" w:cs="Times New Roman"/>
          <w:b/>
          <w:color w:val="C00000"/>
          <w:sz w:val="18"/>
        </w:rPr>
        <w:t xml:space="preserve"> </w:t>
      </w:r>
    </w:p>
    <w:p w:rsidR="00320037" w:rsidRDefault="003D4DDC">
      <w:pPr>
        <w:spacing w:after="8" w:line="249" w:lineRule="auto"/>
        <w:ind w:left="440" w:hanging="10"/>
        <w:jc w:val="both"/>
      </w:pPr>
      <w:r>
        <w:rPr>
          <w:rFonts w:ascii="Tahoma" w:eastAsia="Tahoma" w:hAnsi="Tahoma" w:cs="Tahoma"/>
          <w:sz w:val="18"/>
        </w:rPr>
        <w:t xml:space="preserve">P.O. Box 1327, Turlock, CA  95381 </w:t>
      </w:r>
    </w:p>
    <w:p w:rsidR="00320037" w:rsidRDefault="003D4DDC">
      <w:pPr>
        <w:spacing w:after="139" w:line="249" w:lineRule="auto"/>
        <w:ind w:left="660" w:right="1673" w:hanging="230"/>
        <w:jc w:val="both"/>
      </w:pPr>
      <w:r>
        <w:rPr>
          <w:rFonts w:ascii="Tahoma" w:eastAsia="Tahoma" w:hAnsi="Tahoma" w:cs="Tahoma"/>
          <w:sz w:val="18"/>
        </w:rPr>
        <w:t xml:space="preserve">200 West Main Street, Suite F Turlock, CA  95380 Phone: (209) 634-6459 </w:t>
      </w:r>
    </w:p>
    <w:p w:rsidR="00320037" w:rsidRDefault="003D4DDC">
      <w:pPr>
        <w:tabs>
          <w:tab w:val="center" w:pos="7916"/>
        </w:tabs>
        <w:spacing w:after="8" w:line="249" w:lineRule="auto"/>
      </w:pPr>
      <w:r>
        <w:rPr>
          <w:rFonts w:ascii="Bradley Hand ITC" w:eastAsia="Bradley Hand ITC" w:hAnsi="Bradley Hand ITC" w:cs="Bradley Hand ITC"/>
          <w:color w:val="DCA200"/>
          <w:sz w:val="28"/>
        </w:rPr>
        <w:t xml:space="preserve">                                       </w:t>
      </w:r>
      <w:r>
        <w:rPr>
          <w:rFonts w:ascii="Copperplate Gothic" w:eastAsia="Copperplate Gothic" w:hAnsi="Copperplate Gothic" w:cs="Copperplate Gothic"/>
          <w:b/>
          <w:color w:val="993300"/>
          <w:sz w:val="36"/>
        </w:rPr>
        <w:t xml:space="preserve"> </w:t>
      </w:r>
      <w:r>
        <w:rPr>
          <w:rFonts w:ascii="Copperplate Gothic" w:eastAsia="Copperplate Gothic" w:hAnsi="Copperplate Gothic" w:cs="Copperplate Gothic"/>
          <w:b/>
          <w:color w:val="993300"/>
          <w:sz w:val="36"/>
        </w:rPr>
        <w:tab/>
      </w:r>
      <w:r>
        <w:rPr>
          <w:rFonts w:ascii="Tahoma" w:eastAsia="Tahoma" w:hAnsi="Tahoma" w:cs="Tahoma"/>
          <w:sz w:val="18"/>
        </w:rPr>
        <w:t xml:space="preserve">Admin@turlockdowntown.com </w:t>
      </w:r>
    </w:p>
    <w:p w:rsidR="00320037" w:rsidRDefault="003D4DDC">
      <w:pPr>
        <w:spacing w:after="0"/>
      </w:pPr>
      <w:r>
        <w:rPr>
          <w:rFonts w:ascii="Times New Roman" w:eastAsia="Times New Roman" w:hAnsi="Times New Roman" w:cs="Times New Roman"/>
        </w:rPr>
        <w:t xml:space="preserve">_________________________________________________________________________________________ </w:t>
      </w:r>
    </w:p>
    <w:p w:rsidR="00320037" w:rsidRDefault="003D4DDC">
      <w:pPr>
        <w:spacing w:after="0"/>
      </w:pPr>
      <w:r>
        <w:rPr>
          <w:rFonts w:ascii="Arial" w:eastAsia="Arial" w:hAnsi="Arial" w:cs="Arial"/>
          <w:color w:val="0D0D0D"/>
          <w:sz w:val="24"/>
        </w:rPr>
        <w:t xml:space="preserve"> </w:t>
      </w:r>
    </w:p>
    <w:p w:rsidR="00320037" w:rsidRDefault="003D4DDC">
      <w:pPr>
        <w:spacing w:after="0"/>
        <w:ind w:left="44" w:hanging="10"/>
        <w:jc w:val="center"/>
      </w:pPr>
      <w:r>
        <w:rPr>
          <w:rFonts w:ascii="Arial" w:eastAsia="Arial" w:hAnsi="Arial" w:cs="Arial"/>
          <w:b/>
          <w:sz w:val="20"/>
        </w:rPr>
        <w:t xml:space="preserve">TDPOA SPECIAL BOARD MEETING AGENDA   </w:t>
      </w:r>
    </w:p>
    <w:p w:rsidR="00320037" w:rsidRDefault="003D4DDC">
      <w:pPr>
        <w:spacing w:after="0"/>
        <w:ind w:left="44" w:right="6" w:hanging="10"/>
        <w:jc w:val="center"/>
      </w:pPr>
      <w:r>
        <w:rPr>
          <w:rFonts w:ascii="Arial" w:eastAsia="Arial" w:hAnsi="Arial" w:cs="Arial"/>
          <w:b/>
          <w:sz w:val="20"/>
        </w:rPr>
        <w:t>Wednesday August 9, 2017 3:30pm – 5:00pm</w:t>
      </w:r>
    </w:p>
    <w:p w:rsidR="00320037" w:rsidRDefault="003D4DDC">
      <w:pPr>
        <w:spacing w:after="0"/>
        <w:ind w:left="41" w:hanging="10"/>
        <w:jc w:val="center"/>
      </w:pPr>
      <w:r>
        <w:rPr>
          <w:rFonts w:ascii="Arial" w:eastAsia="Arial" w:hAnsi="Arial" w:cs="Arial"/>
          <w:sz w:val="20"/>
        </w:rPr>
        <w:t xml:space="preserve">TDPOA Office </w:t>
      </w:r>
    </w:p>
    <w:p w:rsidR="00320037" w:rsidRDefault="003D4DDC">
      <w:pPr>
        <w:spacing w:after="0"/>
        <w:ind w:left="41" w:right="4" w:hanging="10"/>
        <w:jc w:val="center"/>
      </w:pPr>
      <w:r>
        <w:rPr>
          <w:rFonts w:ascii="Arial" w:eastAsia="Arial" w:hAnsi="Arial" w:cs="Arial"/>
          <w:sz w:val="20"/>
        </w:rPr>
        <w:t xml:space="preserve">200 West Main Street, Suite F, Turlock, CA  95380 </w:t>
      </w:r>
    </w:p>
    <w:p w:rsidR="00320037" w:rsidRDefault="003D4DDC">
      <w:pPr>
        <w:spacing w:after="0"/>
      </w:pPr>
      <w:r>
        <w:rPr>
          <w:rFonts w:ascii="Arial" w:eastAsia="Arial" w:hAnsi="Arial" w:cs="Arial"/>
          <w:sz w:val="20"/>
        </w:rPr>
        <w:t xml:space="preserve"> </w:t>
      </w:r>
      <w:r>
        <w:rPr>
          <w:rFonts w:ascii="Arial" w:eastAsia="Arial" w:hAnsi="Arial" w:cs="Arial"/>
          <w:sz w:val="20"/>
        </w:rPr>
        <w:tab/>
        <w:t xml:space="preserve">  </w:t>
      </w:r>
    </w:p>
    <w:p w:rsidR="00320037" w:rsidRDefault="003D4DDC">
      <w:pPr>
        <w:tabs>
          <w:tab w:val="center" w:pos="3256"/>
          <w:tab w:val="center" w:pos="4992"/>
          <w:tab w:val="center" w:pos="7750"/>
        </w:tabs>
        <w:spacing w:after="0"/>
        <w:ind w:left="-15"/>
      </w:pPr>
      <w:r>
        <w:rPr>
          <w:rFonts w:ascii="Arial" w:eastAsia="Arial" w:hAnsi="Arial" w:cs="Arial"/>
          <w:sz w:val="20"/>
        </w:rPr>
        <w:t xml:space="preserve">Board Members: </w:t>
      </w:r>
      <w:r>
        <w:rPr>
          <w:rFonts w:ascii="Arial" w:eastAsia="Arial" w:hAnsi="Arial" w:cs="Arial"/>
          <w:sz w:val="20"/>
        </w:rPr>
        <w:tab/>
        <w:t xml:space="preserve">Michael </w:t>
      </w:r>
      <w:proofErr w:type="spellStart"/>
      <w:r>
        <w:rPr>
          <w:rFonts w:ascii="Arial" w:eastAsia="Arial" w:hAnsi="Arial" w:cs="Arial"/>
          <w:sz w:val="20"/>
        </w:rPr>
        <w:t>Camara</w:t>
      </w:r>
      <w:proofErr w:type="spellEnd"/>
      <w:r>
        <w:rPr>
          <w:rFonts w:ascii="Arial" w:eastAsia="Arial" w:hAnsi="Arial" w:cs="Arial"/>
          <w:sz w:val="20"/>
        </w:rPr>
        <w:t xml:space="preserve">    </w:t>
      </w:r>
      <w:r>
        <w:rPr>
          <w:rFonts w:ascii="Arial" w:eastAsia="Arial" w:hAnsi="Arial" w:cs="Arial"/>
          <w:sz w:val="20"/>
        </w:rPr>
        <w:tab/>
        <w:t>Marin Krieger    Dan Tallman</w:t>
      </w:r>
      <w:r>
        <w:rPr>
          <w:rFonts w:ascii="Arial" w:eastAsia="Arial" w:hAnsi="Arial" w:cs="Arial"/>
          <w:sz w:val="20"/>
        </w:rPr>
        <w:tab/>
        <w:t>Randy Woods</w:t>
      </w:r>
      <w:r>
        <w:rPr>
          <w:rFonts w:ascii="Arial" w:eastAsia="Arial" w:hAnsi="Arial" w:cs="Arial"/>
          <w:sz w:val="20"/>
        </w:rPr>
        <w:tab/>
        <w:t xml:space="preserve"> </w:t>
      </w:r>
    </w:p>
    <w:p w:rsidR="00320037" w:rsidRDefault="003D4DDC">
      <w:pPr>
        <w:tabs>
          <w:tab w:val="center" w:pos="3267"/>
          <w:tab w:val="center" w:pos="4977"/>
          <w:tab w:val="center" w:pos="7046"/>
          <w:tab w:val="center" w:pos="8649"/>
        </w:tabs>
        <w:spacing w:after="0"/>
        <w:ind w:left="-15"/>
      </w:pPr>
      <w:r>
        <w:rPr>
          <w:rFonts w:ascii="Arial" w:eastAsia="Arial" w:hAnsi="Arial" w:cs="Arial"/>
          <w:sz w:val="20"/>
        </w:rPr>
        <w:tab/>
        <w:t xml:space="preserve">Danny Mann    John </w:t>
      </w:r>
      <w:proofErr w:type="spellStart"/>
      <w:r>
        <w:rPr>
          <w:rFonts w:ascii="Arial" w:eastAsia="Arial" w:hAnsi="Arial" w:cs="Arial"/>
          <w:sz w:val="20"/>
        </w:rPr>
        <w:t>Jaureguy</w:t>
      </w:r>
      <w:proofErr w:type="spellEnd"/>
      <w:r>
        <w:rPr>
          <w:rFonts w:ascii="Arial" w:eastAsia="Arial" w:hAnsi="Arial" w:cs="Arial"/>
          <w:sz w:val="20"/>
        </w:rPr>
        <w:t xml:space="preserve">   </w:t>
      </w:r>
      <w:r>
        <w:rPr>
          <w:rFonts w:ascii="Arial" w:eastAsia="Arial" w:hAnsi="Arial" w:cs="Arial"/>
          <w:sz w:val="20"/>
        </w:rPr>
        <w:tab/>
        <w:t>Jeff Chapman    LeRoy Walker     Jerry Powell</w:t>
      </w:r>
      <w:r>
        <w:rPr>
          <w:rFonts w:ascii="Arial" w:eastAsia="Arial" w:hAnsi="Arial" w:cs="Arial"/>
        </w:rPr>
        <w:t xml:space="preserve"> </w:t>
      </w:r>
    </w:p>
    <w:p w:rsidR="00320037" w:rsidRDefault="003D4DDC">
      <w:pPr>
        <w:spacing w:after="4"/>
        <w:ind w:left="-29" w:right="-60"/>
      </w:pPr>
      <w:r>
        <w:rPr>
          <w:noProof/>
        </w:rPr>
        <mc:AlternateContent>
          <mc:Choice Requires="wpg">
            <w:drawing>
              <wp:inline distT="0" distB="0" distL="0" distR="0">
                <wp:extent cx="6896100" cy="12192"/>
                <wp:effectExtent l="0" t="0" r="0" b="0"/>
                <wp:docPr id="1167" name="Group 1167"/>
                <wp:cNvGraphicFramePr/>
                <a:graphic xmlns:a="http://schemas.openxmlformats.org/drawingml/2006/main">
                  <a:graphicData uri="http://schemas.microsoft.com/office/word/2010/wordprocessingGroup">
                    <wpg:wgp>
                      <wpg:cNvGrpSpPr/>
                      <wpg:grpSpPr>
                        <a:xfrm>
                          <a:off x="0" y="0"/>
                          <a:ext cx="6896100" cy="12192"/>
                          <a:chOff x="0" y="0"/>
                          <a:chExt cx="6896100" cy="12192"/>
                        </a:xfrm>
                      </wpg:grpSpPr>
                      <wps:wsp>
                        <wps:cNvPr id="1548" name="Shape 1548"/>
                        <wps:cNvSpPr/>
                        <wps:spPr>
                          <a:xfrm>
                            <a:off x="0" y="0"/>
                            <a:ext cx="6896100" cy="12192"/>
                          </a:xfrm>
                          <a:custGeom>
                            <a:avLst/>
                            <a:gdLst/>
                            <a:ahLst/>
                            <a:cxnLst/>
                            <a:rect l="0" t="0" r="0" b="0"/>
                            <a:pathLst>
                              <a:path w="6896100" h="12192">
                                <a:moveTo>
                                  <a:pt x="0" y="0"/>
                                </a:moveTo>
                                <a:lnTo>
                                  <a:pt x="6896100" y="0"/>
                                </a:lnTo>
                                <a:lnTo>
                                  <a:pt x="6896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 style="width:543pt;height:0.959961pt;mso-position-horizontal-relative:char;mso-position-vertical-relative:line" coordsize="68961,121">
                <v:shape id="Shape 1549" style="position:absolute;width:68961;height:121;left:0;top:0;" coordsize="6896100,12192" path="m0,0l6896100,0l6896100,12192l0,12192l0,0">
                  <v:stroke weight="0pt" endcap="flat" joinstyle="miter" miterlimit="10" on="false" color="#000000" opacity="0"/>
                  <v:fill on="true" color="#000000"/>
                </v:shape>
              </v:group>
            </w:pict>
          </mc:Fallback>
        </mc:AlternateContent>
      </w:r>
    </w:p>
    <w:p w:rsidR="00320037" w:rsidRDefault="003D4DDC">
      <w:pPr>
        <w:spacing w:after="0"/>
      </w:pPr>
      <w:r>
        <w:rPr>
          <w:rFonts w:ascii="Arial" w:eastAsia="Arial" w:hAnsi="Arial" w:cs="Arial"/>
        </w:rPr>
        <w:t xml:space="preserve"> </w:t>
      </w:r>
    </w:p>
    <w:p w:rsidR="00320037" w:rsidRDefault="003D4DDC">
      <w:pPr>
        <w:numPr>
          <w:ilvl w:val="0"/>
          <w:numId w:val="1"/>
        </w:numPr>
        <w:spacing w:after="0"/>
        <w:ind w:hanging="360"/>
      </w:pPr>
      <w:r>
        <w:rPr>
          <w:rFonts w:ascii="Arial" w:eastAsia="Arial" w:hAnsi="Arial" w:cs="Arial"/>
          <w:b/>
        </w:rPr>
        <w:t xml:space="preserve">Call to Order: </w:t>
      </w:r>
    </w:p>
    <w:p w:rsidR="00320037" w:rsidRDefault="003D4DDC">
      <w:pPr>
        <w:spacing w:after="8"/>
      </w:pPr>
      <w:r>
        <w:rPr>
          <w:rFonts w:ascii="Arial" w:eastAsia="Arial" w:hAnsi="Arial" w:cs="Arial"/>
        </w:rPr>
        <w:t xml:space="preserve"> </w:t>
      </w:r>
    </w:p>
    <w:p w:rsidR="00320037" w:rsidRDefault="003D4DDC">
      <w:pPr>
        <w:numPr>
          <w:ilvl w:val="0"/>
          <w:numId w:val="1"/>
        </w:numPr>
        <w:spacing w:after="0"/>
        <w:ind w:hanging="360"/>
      </w:pPr>
      <w:r>
        <w:rPr>
          <w:rFonts w:ascii="Arial" w:eastAsia="Arial" w:hAnsi="Arial" w:cs="Arial"/>
          <w:b/>
        </w:rPr>
        <w:t xml:space="preserve">Public Comment:  </w:t>
      </w:r>
      <w:r>
        <w:rPr>
          <w:rFonts w:ascii="Arial" w:eastAsia="Arial" w:hAnsi="Arial" w:cs="Arial"/>
          <w:i/>
          <w:sz w:val="18"/>
        </w:rPr>
        <w:t>While participation of all interested parties is welcomed, State Law prohibits the Board from acting on any item not listed on the Agenda.</w:t>
      </w:r>
      <w:r>
        <w:rPr>
          <w:rFonts w:ascii="Arial" w:eastAsia="Arial" w:hAnsi="Arial" w:cs="Arial"/>
          <w:sz w:val="18"/>
        </w:rPr>
        <w:t xml:space="preserve">  </w:t>
      </w:r>
    </w:p>
    <w:p w:rsidR="00320037" w:rsidRDefault="003D4DDC">
      <w:pPr>
        <w:spacing w:after="37"/>
        <w:ind w:left="720"/>
      </w:pPr>
      <w:r>
        <w:rPr>
          <w:rFonts w:ascii="Arial" w:eastAsia="Arial" w:hAnsi="Arial" w:cs="Arial"/>
          <w:sz w:val="18"/>
        </w:rPr>
        <w:t xml:space="preserve"> </w:t>
      </w:r>
    </w:p>
    <w:p w:rsidR="00320037" w:rsidRDefault="003D4DDC">
      <w:pPr>
        <w:numPr>
          <w:ilvl w:val="0"/>
          <w:numId w:val="1"/>
        </w:numPr>
        <w:spacing w:after="0"/>
        <w:ind w:hanging="360"/>
      </w:pPr>
      <w:r>
        <w:rPr>
          <w:rFonts w:ascii="Arial" w:eastAsia="Arial" w:hAnsi="Arial" w:cs="Arial"/>
          <w:b/>
        </w:rPr>
        <w:t xml:space="preserve">Introduction: </w:t>
      </w:r>
      <w:r>
        <w:rPr>
          <w:rFonts w:ascii="Arial" w:eastAsia="Arial" w:hAnsi="Arial" w:cs="Arial"/>
          <w:b/>
          <w:sz w:val="18"/>
        </w:rPr>
        <w:t xml:space="preserve"> </w:t>
      </w:r>
      <w:r>
        <w:rPr>
          <w:rFonts w:ascii="Arial" w:eastAsia="Arial" w:hAnsi="Arial" w:cs="Arial"/>
          <w:i/>
          <w:sz w:val="18"/>
        </w:rPr>
        <w:t>No special guests</w:t>
      </w:r>
      <w:r>
        <w:rPr>
          <w:rFonts w:ascii="Arial" w:eastAsia="Arial" w:hAnsi="Arial" w:cs="Arial"/>
          <w:sz w:val="18"/>
        </w:rPr>
        <w:t xml:space="preserve"> </w:t>
      </w:r>
    </w:p>
    <w:p w:rsidR="00320037" w:rsidRDefault="003D4DDC" w:rsidP="00B93DB9">
      <w:pPr>
        <w:spacing w:after="22"/>
        <w:ind w:left="720"/>
      </w:pPr>
      <w:r>
        <w:rPr>
          <w:rFonts w:ascii="Arial" w:eastAsia="Arial" w:hAnsi="Arial" w:cs="Arial"/>
          <w:sz w:val="18"/>
        </w:rPr>
        <w:t xml:space="preserve"> </w:t>
      </w:r>
      <w:bookmarkStart w:id="0" w:name="_GoBack"/>
      <w:bookmarkEnd w:id="0"/>
    </w:p>
    <w:p w:rsidR="00320037" w:rsidRDefault="003D4DDC">
      <w:pPr>
        <w:numPr>
          <w:ilvl w:val="0"/>
          <w:numId w:val="1"/>
        </w:numPr>
        <w:spacing w:after="0"/>
        <w:ind w:hanging="360"/>
      </w:pPr>
      <w:r>
        <w:rPr>
          <w:rFonts w:ascii="Arial" w:eastAsia="Arial" w:hAnsi="Arial" w:cs="Arial"/>
          <w:b/>
        </w:rPr>
        <w:t xml:space="preserve">Scheduled Matters: </w:t>
      </w:r>
    </w:p>
    <w:p w:rsidR="00320037" w:rsidRDefault="003D4DDC">
      <w:pPr>
        <w:spacing w:after="0"/>
        <w:ind w:left="720"/>
      </w:pPr>
      <w:r>
        <w:rPr>
          <w:rFonts w:ascii="Arial" w:eastAsia="Arial" w:hAnsi="Arial" w:cs="Arial"/>
          <w:b/>
        </w:rPr>
        <w:t xml:space="preserve"> </w:t>
      </w:r>
    </w:p>
    <w:p w:rsidR="00320037" w:rsidRDefault="003D4DDC">
      <w:pPr>
        <w:spacing w:after="0"/>
        <w:ind w:left="1075" w:hanging="10"/>
      </w:pPr>
      <w:r>
        <w:rPr>
          <w:rFonts w:ascii="Arial" w:eastAsia="Arial" w:hAnsi="Arial" w:cs="Arial"/>
        </w:rPr>
        <w:t xml:space="preserve">a. Approve Minutes from July 19, 2017 Meeting </w:t>
      </w:r>
    </w:p>
    <w:p w:rsidR="00320037" w:rsidRDefault="003D4DDC">
      <w:pPr>
        <w:spacing w:after="0"/>
        <w:ind w:left="1080"/>
      </w:pPr>
      <w:r>
        <w:rPr>
          <w:rFonts w:ascii="Arial" w:eastAsia="Arial" w:hAnsi="Arial" w:cs="Arial"/>
        </w:rPr>
        <w:t xml:space="preserve"> </w:t>
      </w:r>
    </w:p>
    <w:p w:rsidR="00320037" w:rsidRDefault="003D4DDC">
      <w:pPr>
        <w:spacing w:after="0"/>
        <w:ind w:left="1440"/>
      </w:pPr>
      <w:r>
        <w:rPr>
          <w:rFonts w:ascii="Arial" w:eastAsia="Arial" w:hAnsi="Arial" w:cs="Arial"/>
        </w:rPr>
        <w:t xml:space="preserve"> </w:t>
      </w:r>
    </w:p>
    <w:p w:rsidR="00320037" w:rsidRDefault="003D4DDC">
      <w:pPr>
        <w:numPr>
          <w:ilvl w:val="0"/>
          <w:numId w:val="1"/>
        </w:numPr>
        <w:spacing w:after="0"/>
        <w:ind w:hanging="360"/>
      </w:pPr>
      <w:r>
        <w:rPr>
          <w:rFonts w:ascii="Arial" w:eastAsia="Arial" w:hAnsi="Arial" w:cs="Arial"/>
          <w:b/>
        </w:rPr>
        <w:t xml:space="preserve">Discussion/Action Item: </w:t>
      </w:r>
      <w:r>
        <w:rPr>
          <w:rFonts w:ascii="Arial" w:eastAsia="Arial" w:hAnsi="Arial" w:cs="Arial"/>
        </w:rPr>
        <w:t xml:space="preserve"> </w:t>
      </w:r>
    </w:p>
    <w:p w:rsidR="00320037" w:rsidRDefault="003D4DDC">
      <w:pPr>
        <w:spacing w:after="0"/>
        <w:ind w:left="1080"/>
      </w:pPr>
      <w:r>
        <w:t>None</w:t>
      </w:r>
    </w:p>
    <w:p w:rsidR="00320037" w:rsidRDefault="003D4DDC">
      <w:pPr>
        <w:spacing w:after="0"/>
        <w:ind w:left="1440"/>
      </w:pPr>
      <w:r>
        <w:rPr>
          <w:rFonts w:ascii="Arial" w:eastAsia="Arial" w:hAnsi="Arial" w:cs="Arial"/>
        </w:rPr>
        <w:t xml:space="preserve"> </w:t>
      </w:r>
    </w:p>
    <w:p w:rsidR="00320037" w:rsidRPr="003D4DDC" w:rsidRDefault="003D4DDC">
      <w:pPr>
        <w:numPr>
          <w:ilvl w:val="0"/>
          <w:numId w:val="2"/>
        </w:numPr>
        <w:spacing w:after="0"/>
        <w:ind w:hanging="360"/>
      </w:pPr>
      <w:r>
        <w:rPr>
          <w:rFonts w:ascii="Arial" w:eastAsia="Arial" w:hAnsi="Arial" w:cs="Arial"/>
          <w:b/>
        </w:rPr>
        <w:t xml:space="preserve">Closed Session: </w:t>
      </w:r>
    </w:p>
    <w:p w:rsidR="003D4DDC" w:rsidRDefault="003D4DDC" w:rsidP="003D4DDC">
      <w:pPr>
        <w:pStyle w:val="ListParagraph"/>
        <w:numPr>
          <w:ilvl w:val="0"/>
          <w:numId w:val="7"/>
        </w:numPr>
        <w:spacing w:after="0"/>
      </w:pPr>
      <w:r>
        <w:t>CONFERENCE WITH LABOR NEGOTIATORS, Cal. Gov’t Code §54957.6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 provided scope of representation.” Unrepresented Employees: TDPOA Director</w:t>
      </w:r>
    </w:p>
    <w:p w:rsidR="00320037" w:rsidRDefault="00320037" w:rsidP="003D4DDC">
      <w:pPr>
        <w:spacing w:after="0"/>
      </w:pPr>
    </w:p>
    <w:p w:rsidR="003D4DDC" w:rsidRDefault="003D4DDC" w:rsidP="003D4DDC">
      <w:pPr>
        <w:spacing w:after="0"/>
      </w:pPr>
    </w:p>
    <w:p w:rsidR="00320037" w:rsidRDefault="003D4DDC">
      <w:pPr>
        <w:numPr>
          <w:ilvl w:val="0"/>
          <w:numId w:val="2"/>
        </w:numPr>
        <w:spacing w:after="0"/>
        <w:ind w:hanging="360"/>
      </w:pPr>
      <w:r>
        <w:rPr>
          <w:rFonts w:ascii="Arial" w:eastAsia="Arial" w:hAnsi="Arial" w:cs="Arial"/>
          <w:b/>
        </w:rPr>
        <w:t>Board Member Comment(s)</w:t>
      </w:r>
      <w:r>
        <w:rPr>
          <w:rFonts w:ascii="Arial" w:eastAsia="Arial" w:hAnsi="Arial" w:cs="Arial"/>
          <w:sz w:val="18"/>
        </w:rPr>
        <w:t xml:space="preserve"> </w:t>
      </w:r>
    </w:p>
    <w:p w:rsidR="00320037" w:rsidRDefault="003D4DDC">
      <w:pPr>
        <w:spacing w:after="0" w:line="239" w:lineRule="auto"/>
        <w:ind w:left="720"/>
      </w:pPr>
      <w:r>
        <w:rPr>
          <w:rFonts w:ascii="Arial" w:eastAsia="Arial" w:hAnsi="Arial" w:cs="Arial"/>
          <w:i/>
          <w:sz w:val="20"/>
        </w:rPr>
        <w:t xml:space="preserve">Board members may provide a brief report on notable topics of interest.  The Brown Act does not allow discussion or action by the Board. </w:t>
      </w:r>
    </w:p>
    <w:p w:rsidR="00320037" w:rsidRDefault="003D4DDC">
      <w:pPr>
        <w:spacing w:after="18"/>
        <w:ind w:left="1440"/>
      </w:pPr>
      <w:r>
        <w:rPr>
          <w:rFonts w:ascii="Arial" w:eastAsia="Arial" w:hAnsi="Arial" w:cs="Arial"/>
          <w:sz w:val="18"/>
        </w:rPr>
        <w:t xml:space="preserve"> </w:t>
      </w:r>
    </w:p>
    <w:p w:rsidR="00320037" w:rsidRDefault="003D4DDC">
      <w:pPr>
        <w:numPr>
          <w:ilvl w:val="0"/>
          <w:numId w:val="2"/>
        </w:numPr>
        <w:spacing w:after="0"/>
        <w:ind w:hanging="360"/>
      </w:pPr>
      <w:r>
        <w:rPr>
          <w:rFonts w:ascii="Arial" w:eastAsia="Arial" w:hAnsi="Arial" w:cs="Arial"/>
          <w:b/>
        </w:rPr>
        <w:t xml:space="preserve">Announcements and Discussion Items for next Meeting: </w:t>
      </w:r>
      <w:r>
        <w:rPr>
          <w:rFonts w:ascii="Arial" w:eastAsia="Arial" w:hAnsi="Arial" w:cs="Arial"/>
        </w:rPr>
        <w:t xml:space="preserve"> </w:t>
      </w:r>
    </w:p>
    <w:p w:rsidR="00320037" w:rsidRDefault="003D4DDC">
      <w:pPr>
        <w:spacing w:after="0"/>
        <w:ind w:left="720"/>
      </w:pPr>
      <w:r>
        <w:rPr>
          <w:rFonts w:ascii="Arial" w:eastAsia="Arial" w:hAnsi="Arial" w:cs="Arial"/>
        </w:rPr>
        <w:t xml:space="preserve"> </w:t>
      </w:r>
    </w:p>
    <w:p w:rsidR="00320037" w:rsidRDefault="003D4DDC">
      <w:pPr>
        <w:spacing w:after="0"/>
        <w:ind w:left="1440"/>
      </w:pPr>
      <w:r>
        <w:rPr>
          <w:rFonts w:ascii="Arial" w:eastAsia="Arial" w:hAnsi="Arial" w:cs="Arial"/>
        </w:rPr>
        <w:lastRenderedPageBreak/>
        <w:t xml:space="preserve"> </w:t>
      </w:r>
    </w:p>
    <w:p w:rsidR="00320037" w:rsidRDefault="003D4DDC">
      <w:pPr>
        <w:numPr>
          <w:ilvl w:val="0"/>
          <w:numId w:val="2"/>
        </w:numPr>
        <w:spacing w:after="0"/>
        <w:ind w:hanging="360"/>
      </w:pPr>
      <w:r>
        <w:rPr>
          <w:rFonts w:ascii="Arial" w:eastAsia="Arial" w:hAnsi="Arial" w:cs="Arial"/>
          <w:b/>
        </w:rPr>
        <w:t xml:space="preserve">Adjournment </w:t>
      </w:r>
    </w:p>
    <w:p w:rsidR="00320037" w:rsidRDefault="003D4DDC">
      <w:pPr>
        <w:spacing w:after="0"/>
      </w:pPr>
      <w:r>
        <w:rPr>
          <w:rFonts w:ascii="Times New Roman" w:eastAsia="Times New Roman" w:hAnsi="Times New Roman" w:cs="Times New Roman"/>
          <w:sz w:val="24"/>
        </w:rPr>
        <w:t xml:space="preserve"> </w:t>
      </w:r>
    </w:p>
    <w:sectPr w:rsidR="00320037">
      <w:pgSz w:w="12240" w:h="15840"/>
      <w:pgMar w:top="1440" w:right="74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7C9"/>
    <w:multiLevelType w:val="hybridMultilevel"/>
    <w:tmpl w:val="3600E666"/>
    <w:lvl w:ilvl="0" w:tplc="83107A36">
      <w:start w:val="7"/>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E86C62">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1A62C14">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26C4D26">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AD0B946">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1EEC98A">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00E4570">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BBAA096">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29AE8D2">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2143C6"/>
    <w:multiLevelType w:val="hybridMultilevel"/>
    <w:tmpl w:val="6B18DB6A"/>
    <w:lvl w:ilvl="0" w:tplc="13947CC2">
      <w:start w:val="1"/>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D00C65C">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BA03F0">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D4CB43E">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A8212B0">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D22BF6A">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93883FE">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BB8236A">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8CE89E2">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C41AC8"/>
    <w:multiLevelType w:val="hybridMultilevel"/>
    <w:tmpl w:val="852EC21A"/>
    <w:lvl w:ilvl="0" w:tplc="B32638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1973E0"/>
    <w:multiLevelType w:val="hybridMultilevel"/>
    <w:tmpl w:val="B5422B38"/>
    <w:lvl w:ilvl="0" w:tplc="2F12467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5BC733D2"/>
    <w:multiLevelType w:val="hybridMultilevel"/>
    <w:tmpl w:val="3052074C"/>
    <w:lvl w:ilvl="0" w:tplc="9D960B20">
      <w:start w:val="1"/>
      <w:numFmt w:val="lowerLetter"/>
      <w:lvlText w:val="%1."/>
      <w:lvlJc w:val="left"/>
      <w:pPr>
        <w:ind w:left="1065" w:hanging="360"/>
      </w:pPr>
      <w:rPr>
        <w:rFonts w:ascii="Arial" w:eastAsia="Arial" w:hAnsi="Arial" w:cs="Arial"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49A356D"/>
    <w:multiLevelType w:val="hybridMultilevel"/>
    <w:tmpl w:val="46F0C916"/>
    <w:lvl w:ilvl="0" w:tplc="232EF980">
      <w:start w:val="1"/>
      <w:numFmt w:val="lowerLetter"/>
      <w:lvlText w:val="%1."/>
      <w:lvlJc w:val="left"/>
      <w:pPr>
        <w:ind w:left="1065" w:hanging="360"/>
      </w:pPr>
      <w:rPr>
        <w:rFonts w:ascii="Arial" w:eastAsia="Arial" w:hAnsi="Arial" w:cs="Arial"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78D011A1"/>
    <w:multiLevelType w:val="hybridMultilevel"/>
    <w:tmpl w:val="7AA0B94A"/>
    <w:lvl w:ilvl="0" w:tplc="E594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320037"/>
    <w:rsid w:val="003D4DDC"/>
    <w:rsid w:val="00B9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AB93"/>
  <w15:docId w15:val="{D30AFE2C-9D06-4337-97C5-B57F23E1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90" w:hanging="10"/>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paragraph" w:styleId="ListParagraph">
    <w:name w:val="List Paragraph"/>
    <w:basedOn w:val="Normal"/>
    <w:uiPriority w:val="34"/>
    <w:qFormat/>
    <w:rsid w:val="003D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Downtown Turlock</cp:lastModifiedBy>
  <cp:revision>3</cp:revision>
  <dcterms:created xsi:type="dcterms:W3CDTF">2017-08-03T15:36:00Z</dcterms:created>
  <dcterms:modified xsi:type="dcterms:W3CDTF">2017-08-03T15:45:00Z</dcterms:modified>
</cp:coreProperties>
</file>